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34" w:rsidRPr="002767BD" w:rsidRDefault="002767BD">
      <w:pPr>
        <w:rPr>
          <w:rFonts w:ascii="Times New Roman" w:hAnsi="Times New Roman" w:cs="Times New Roman"/>
          <w:b/>
          <w:sz w:val="24"/>
          <w:szCs w:val="24"/>
        </w:rPr>
      </w:pPr>
      <w:r w:rsidRPr="002767BD">
        <w:rPr>
          <w:rFonts w:ascii="Times New Roman" w:hAnsi="Times New Roman" w:cs="Times New Roman"/>
          <w:b/>
          <w:sz w:val="24"/>
          <w:szCs w:val="24"/>
        </w:rPr>
        <w:t xml:space="preserve">Media Unit Terms List </w:t>
      </w:r>
    </w:p>
    <w:p w:rsidR="002767BD" w:rsidRPr="002767BD" w:rsidRDefault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2767BD">
          <w:rPr>
            <w:rStyle w:val="Hyperlink"/>
            <w:rFonts w:ascii="Times New Roman" w:hAnsi="Times New Roman" w:cs="Times New Roman"/>
            <w:sz w:val="24"/>
            <w:szCs w:val="24"/>
          </w:rPr>
          <w:t>Active Audience Theory</w:t>
        </w:r>
      </w:hyperlink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2767BD">
          <w:rPr>
            <w:rStyle w:val="Hyperlink"/>
            <w:rFonts w:ascii="Times New Roman" w:hAnsi="Times New Roman" w:cs="Times New Roman"/>
            <w:sz w:val="24"/>
            <w:szCs w:val="24"/>
          </w:rPr>
          <w:t>Agenda-Setting Theory</w:t>
        </w:r>
      </w:hyperlink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proofErr w:type="spellStart"/>
        <w:r w:rsidRPr="002767BD">
          <w:rPr>
            <w:rStyle w:val="Hyperlink"/>
            <w:rFonts w:ascii="Times New Roman" w:hAnsi="Times New Roman" w:cs="Times New Roman"/>
            <w:sz w:val="24"/>
            <w:szCs w:val="24"/>
          </w:rPr>
          <w:t>Feiler</w:t>
        </w:r>
        <w:proofErr w:type="spellEnd"/>
        <w:r w:rsidRPr="002767B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Faster Thesis</w:t>
        </w:r>
      </w:hyperlink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2767BD">
          <w:rPr>
            <w:rStyle w:val="Hyperlink"/>
            <w:rFonts w:ascii="Times New Roman" w:hAnsi="Times New Roman" w:cs="Times New Roman"/>
            <w:sz w:val="24"/>
            <w:szCs w:val="24"/>
          </w:rPr>
          <w:t>Hypodermic Needle Model</w:t>
        </w:r>
      </w:hyperlink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Pr="002767BD">
          <w:rPr>
            <w:rStyle w:val="Hyperlink"/>
            <w:rFonts w:ascii="Times New Roman" w:hAnsi="Times New Roman" w:cs="Times New Roman"/>
            <w:sz w:val="24"/>
            <w:szCs w:val="24"/>
          </w:rPr>
          <w:t>Image Restoration Theory</w:t>
        </w:r>
      </w:hyperlink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6. </w:t>
      </w:r>
      <w:hyperlink r:id="rId10" w:history="1">
        <w:r w:rsidRPr="002767BD">
          <w:rPr>
            <w:rStyle w:val="Hyperlink"/>
            <w:rFonts w:ascii="Times New Roman" w:hAnsi="Times New Roman" w:cs="Times New Roman"/>
            <w:sz w:val="24"/>
            <w:szCs w:val="24"/>
          </w:rPr>
          <w:t>Ritual View of Communication</w:t>
        </w:r>
      </w:hyperlink>
    </w:p>
    <w:p w:rsid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7. </w:t>
      </w:r>
      <w:hyperlink r:id="rId11" w:history="1">
        <w:r w:rsidRPr="002767BD">
          <w:rPr>
            <w:rStyle w:val="Hyperlink"/>
            <w:rFonts w:ascii="Times New Roman" w:hAnsi="Times New Roman" w:cs="Times New Roman"/>
            <w:sz w:val="24"/>
            <w:szCs w:val="24"/>
          </w:rPr>
          <w:t>Two Step Flow of Communication</w:t>
        </w:r>
      </w:hyperlink>
    </w:p>
    <w:p w:rsid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Default="002767BD" w:rsidP="00276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of the Spectacle</w:t>
      </w:r>
    </w:p>
    <w:p w:rsidR="002767BD" w:rsidRDefault="002767BD" w:rsidP="00276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Medium is the Message </w:t>
      </w:r>
    </w:p>
    <w:p w:rsidR="002767BD" w:rsidRPr="002767BD" w:rsidRDefault="002767BD" w:rsidP="00276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Amusing Ourselves to Death</w:t>
      </w: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Pr="002767BD" w:rsidRDefault="002767BD" w:rsidP="002767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67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Logical Fallacies </w:t>
      </w: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767BD">
        <w:rPr>
          <w:rFonts w:ascii="Times New Roman" w:hAnsi="Times New Roman" w:cs="Times New Roman"/>
          <w:sz w:val="24"/>
          <w:szCs w:val="24"/>
        </w:rPr>
        <w:t>Strawmwan</w:t>
      </w:r>
      <w:proofErr w:type="spellEnd"/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2. Fallacy </w:t>
      </w:r>
      <w:proofErr w:type="spellStart"/>
      <w:r w:rsidRPr="002767BD">
        <w:rPr>
          <w:rFonts w:ascii="Times New Roman" w:hAnsi="Times New Roman" w:cs="Times New Roman"/>
          <w:sz w:val="24"/>
          <w:szCs w:val="24"/>
        </w:rPr>
        <w:t>fallacy</w:t>
      </w:r>
      <w:proofErr w:type="spellEnd"/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>3. Ad hominem</w:t>
      </w: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>4. Slippery slope</w:t>
      </w: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>5. Ambiguity</w:t>
      </w: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>6. Bandwagon</w:t>
      </w: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>7. Black or white</w:t>
      </w: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>8. Anecdote</w:t>
      </w: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9. No true </w:t>
      </w:r>
      <w:proofErr w:type="spellStart"/>
      <w:proofErr w:type="gramStart"/>
      <w:r w:rsidRPr="002767BD">
        <w:rPr>
          <w:rFonts w:ascii="Times New Roman" w:hAnsi="Times New Roman" w:cs="Times New Roman"/>
          <w:sz w:val="24"/>
          <w:szCs w:val="24"/>
        </w:rPr>
        <w:t>scotsman</w:t>
      </w:r>
      <w:proofErr w:type="spellEnd"/>
      <w:proofErr w:type="gramEnd"/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>10. Begging the question</w:t>
      </w: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>11. Texas sharpshooter</w:t>
      </w: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>12. Middle ground</w:t>
      </w: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>13. False cause</w:t>
      </w:r>
    </w:p>
    <w:p w:rsid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>14. Special pleading</w:t>
      </w:r>
    </w:p>
    <w:p w:rsidR="002767BD" w:rsidRPr="002767BD" w:rsidRDefault="002767BD" w:rsidP="002767BD">
      <w:pPr>
        <w:rPr>
          <w:rFonts w:ascii="Times New Roman" w:hAnsi="Times New Roman" w:cs="Times New Roman"/>
          <w:sz w:val="24"/>
          <w:szCs w:val="24"/>
        </w:rPr>
      </w:pPr>
    </w:p>
    <w:p w:rsidR="002767BD" w:rsidRDefault="002767BD" w:rsidP="002767BD"/>
    <w:sectPr w:rsidR="002767BD" w:rsidSect="002767B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2EA5"/>
    <w:multiLevelType w:val="hybridMultilevel"/>
    <w:tmpl w:val="1988E2BA"/>
    <w:lvl w:ilvl="0" w:tplc="CDE6826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BD"/>
    <w:rsid w:val="002767BD"/>
    <w:rsid w:val="003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B6AC8-4686-43D5-8ECF-1A5C3B80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7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en/bms/communication-theories/sorted-by-cluster/Mass%20Media/Hypodermic_Needle_Theo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eiler_faster_thes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wente.nl/en/bms/communication-theories/sorted-by-cluster/Mass%20Media/Agenda-Setting_Theory/" TargetMode="External"/><Relationship Id="rId11" Type="http://schemas.openxmlformats.org/officeDocument/2006/relationships/hyperlink" Target="https://www.communicationtheory.org/two-step-flow-theory-2/" TargetMode="External"/><Relationship Id="rId5" Type="http://schemas.openxmlformats.org/officeDocument/2006/relationships/hyperlink" Target="https://stereotypebyinternet.wordpress.com/category/active-audience/" TargetMode="External"/><Relationship Id="rId10" Type="http://schemas.openxmlformats.org/officeDocument/2006/relationships/hyperlink" Target="https://en.wikipedia.org/wiki/Ritual_view_of_commun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mage_restoration_the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Cardinale</dc:creator>
  <cp:keywords/>
  <dc:description/>
  <cp:lastModifiedBy>Chloe Cardinale</cp:lastModifiedBy>
  <cp:revision>1</cp:revision>
  <dcterms:created xsi:type="dcterms:W3CDTF">2018-10-15T15:44:00Z</dcterms:created>
  <dcterms:modified xsi:type="dcterms:W3CDTF">2018-10-15T15:49:00Z</dcterms:modified>
</cp:coreProperties>
</file>